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A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B000000">
      <w:pPr>
        <w:ind w:firstLine="0" w:left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AC000000">
      <w:pPr>
        <w:ind w:firstLine="0" w:left="0"/>
        <w:jc w:val="left"/>
      </w:pPr>
      <w:r>
        <w:t>Перевод из двоичной в десятичную систему осуществляется путем номирации двоичного числа с права налево от нуля до n. И эта нумерация будет степенями двойки, каждая двойка в степени умножается на номер  i двоичного числа, если это 0, то выбывает соответственно, а потом результат складывается:</w:t>
      </w:r>
    </w:p>
    <w:p w14:paraId="AD000000">
      <w:pPr>
        <w:ind w:firstLine="0" w:left="0"/>
        <w:jc w:val="left"/>
      </w:pPr>
      <w:r>
        <w:drawing>
          <wp:inline>
            <wp:extent cx="5940425" cy="5402074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54020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ind w:firstLine="0" w:left="0"/>
        <w:jc w:val="left"/>
      </w:pPr>
      <w:r>
        <w:t>Так предствленны unsigned int в языке C.</w:t>
      </w:r>
    </w:p>
    <w:p w14:paraId="AF000000">
      <w:pPr>
        <w:ind w:firstLine="0" w:left="0"/>
        <w:jc w:val="left"/>
      </w:pPr>
      <w:r>
        <w:t>Числа double представлены иначе, алгоритм перевода представлен ниже:</w:t>
      </w:r>
    </w:p>
    <w:p w14:paraId="B0000000">
      <w:pPr>
        <w:ind w:firstLine="0" w:left="0"/>
        <w:jc w:val="left"/>
      </w:pPr>
      <w:r>
        <w:drawing>
          <wp:inline>
            <wp:extent cx="5940425" cy="6029932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6029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B2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B3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4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5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bookmarkStart w:id="7" w:name="__RefHeading___7"/>
      <w:bookmarkEnd w:id="7"/>
      <w:pPr>
        <w:pStyle w:val="Style_7"/>
      </w:pPr>
      <w:r>
        <w:t>Таблицы истинности и алгебраические выражения</w:t>
      </w:r>
    </w:p>
    <w:p w14:paraId="B9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BA000000">
      <w:pPr>
        <w:ind w:firstLine="0" w:left="0"/>
        <w:jc w:val="left"/>
      </w:pPr>
      <w:r>
        <w:br w:type="page"/>
      </w:r>
    </w:p>
    <w:p w14:paraId="BB000000">
      <w:bookmarkStart w:id="8" w:name="__RefHeading___8"/>
      <w:bookmarkEnd w:id="8"/>
      <w:pPr>
        <w:pStyle w:val="Style_7"/>
      </w:pPr>
      <w:r>
        <w:t>Карты Карно</w:t>
      </w:r>
    </w:p>
    <w:p w14:paraId="BC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BD000000">
      <w:pPr>
        <w:ind w:firstLine="0" w:left="0"/>
        <w:jc w:val="left"/>
      </w:pPr>
      <w:r>
        <w:br w:type="page"/>
      </w:r>
    </w:p>
    <w:p w14:paraId="BE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BF000000">
      <w:r>
        <w:t>Смысл метода</w:t>
      </w:r>
      <w:r>
        <w:t>,</w:t>
      </w:r>
      <w:r>
        <w:t xml:space="preserve"> инструкция</w:t>
      </w:r>
    </w:p>
    <w:p w14:paraId="C0000000">
      <w:pPr>
        <w:ind w:firstLine="0" w:left="0"/>
        <w:jc w:val="left"/>
      </w:pPr>
      <w:r>
        <w:br w:type="page"/>
      </w:r>
    </w:p>
    <w:p w14:paraId="C1000000">
      <w:bookmarkStart w:id="10" w:name="__RefHeading___10"/>
      <w:bookmarkEnd w:id="10"/>
      <w:pPr>
        <w:pStyle w:val="Style_7"/>
      </w:pPr>
      <w:r>
        <w:t>Базис 2И-НЕ</w:t>
      </w:r>
    </w:p>
    <w:p w14:paraId="C2000000">
      <w:r>
        <w:t>Зачем нужны базисы? Основные цифровые элементы в базисе 2И-НЕ. Перевод АВ в базис 2И-НЕ.</w:t>
      </w:r>
    </w:p>
    <w:p w14:paraId="C3000000">
      <w:pPr>
        <w:ind w:firstLine="0" w:left="0"/>
        <w:jc w:val="left"/>
      </w:pPr>
      <w:r>
        <w:br w:type="page"/>
      </w:r>
    </w:p>
    <w:p w14:paraId="C4000000">
      <w:bookmarkStart w:id="11" w:name="__RefHeading___11"/>
      <w:bookmarkEnd w:id="11"/>
      <w:pPr>
        <w:pStyle w:val="Style_7"/>
      </w:pPr>
      <w:r>
        <w:t>Базис 2ИЛИ-НЕ</w:t>
      </w:r>
    </w:p>
    <w:p w14:paraId="C5000000">
      <w:r>
        <w:t>Зачем нужны базисы? Основные цифровые элементы в базисе 2ИЛИ-НЕ. Перевод АВ в базис 2ИЛИ-НЕ.</w:t>
      </w:r>
    </w:p>
    <w:p w14:paraId="C6000000">
      <w:pPr>
        <w:ind w:firstLine="0" w:left="0"/>
        <w:jc w:val="left"/>
      </w:pPr>
      <w:r>
        <w:br w:type="page"/>
      </w:r>
    </w:p>
    <w:p w14:paraId="C7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C8000000">
      <w:r>
        <w:t>Что это и зачем нужно?</w:t>
      </w:r>
      <w:r>
        <w:t xml:space="preserve"> Можно ли использоваться комбинацию входных сигналов с несколькими 1</w:t>
      </w:r>
      <w:r>
        <w:t>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C9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u w:color="000000" w:val="single"/>
        </w:rPr>
        <w:t>Шифратор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— это комбинационное устройство, преобразующее десятичные числа в двоичную систему счисления, причем каждому входу может быть поставлено в соответствие десятичное число, а набор выходных логических сигналов соответствует определенному двоичному коду.</w:t>
      </w:r>
    </w:p>
    <w:p w14:paraId="CA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Полный шифратор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имеет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2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входов и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выходов</w:t>
      </w:r>
      <w:r>
        <w:rPr>
          <w:rFonts w:ascii="Times New Roman" w:hAnsi="Times New Roman"/>
          <w:b w:val="0"/>
          <w:sz w:val="28"/>
        </w:rPr>
        <w:t>.</w:t>
      </w:r>
    </w:p>
    <w:p w14:paraId="CB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Неполный шифратор</w:t>
      </w:r>
      <w:r>
        <w:t xml:space="preserve"> </w:t>
      </w:r>
      <w:r>
        <w:rPr>
          <w:rFonts w:ascii="Times New Roman" w:hAnsi="Times New Roman"/>
          <w:sz w:val="28"/>
        </w:rPr>
        <w:t>-</w:t>
      </w:r>
      <w:r>
        <w:t xml:space="preserve"> </w:t>
      </w:r>
      <w:r>
        <w:rPr>
          <w:rFonts w:ascii="Times New Roman" w:hAnsi="Times New Roman"/>
          <w:sz w:val="28"/>
        </w:rPr>
        <w:t>имеющий менее</w:t>
      </w:r>
      <w: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1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входов и</w:t>
      </w:r>
      <w:r>
        <w:t xml:space="preserve"> </w:t>
      </w:r>
      <w:r>
        <w:rPr>
          <w:rFonts w:ascii="Times New Roman" w:hAnsi="Times New Roman"/>
          <w:sz w:val="2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выходов</w:t>
      </w:r>
    </w:p>
    <w:p w14:paraId="CC000000">
      <w:pPr>
        <w:spacing w:after="269" w:before="269"/>
        <w:ind w:firstLine="0" w:left="0" w:right="0"/>
        <w:jc w:val="center"/>
      </w:pPr>
      <w:r>
        <w:drawing>
          <wp:inline>
            <wp:extent cx="3657600" cy="2413000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657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Рабочим режимом шифратора является состояние, когда активный сигнал подан только на один вход шифратора.</w:t>
      </w:r>
      <w:r>
        <w:t xml:space="preserve"> А на всех остальных входах нули.</w:t>
      </w:r>
    </w:p>
    <w:p w14:paraId="CE000000">
      <w:pPr>
        <w:spacing w:after="269" w:before="269"/>
        <w:ind w:firstLine="0" w:left="0" w:right="0"/>
        <w:jc w:val="center"/>
      </w:pPr>
      <w:r>
        <w:drawing>
          <wp:inline>
            <wp:extent cx="4229100" cy="2794000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29100" cy="2794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Здесь сигнал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t xml:space="preserve"> </w:t>
      </w:r>
      <w:r>
        <w:rPr>
          <w:rFonts w:ascii="Times New Roman" w:hAnsi="Times New Roman"/>
          <w:sz w:val="28"/>
        </w:rPr>
        <w:t>на входе «0» шифратора не подается ни на один логический элемент, так как при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sz w:val="28"/>
        </w:rPr>
        <w:t>=1 на выходах будет код 000</w:t>
      </w:r>
      <w:r>
        <w:rPr>
          <w:rFonts w:ascii="Times New Roman" w:hAnsi="Times New Roman"/>
          <w:sz w:val="18"/>
        </w:rPr>
        <w:t>2</w:t>
      </w:r>
      <w:r>
        <w:rPr>
          <w:rFonts w:ascii="Times New Roman" w:hAnsi="Times New Roman"/>
          <w:sz w:val="28"/>
        </w:rPr>
        <w:t>, т.е на выходах всех логических элементов ИЛИ будут логические нули.</w:t>
      </w:r>
    </w:p>
    <w:p w14:paraId="D0000000">
      <w:pPr>
        <w:spacing w:after="269" w:before="269"/>
        <w:ind w:firstLine="0" w:left="0" w:right="0"/>
        <w:jc w:val="center"/>
      </w:pPr>
      <w:r>
        <w:drawing>
          <wp:inline>
            <wp:extent cx="4470400" cy="2882900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7040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00000">
      <w:pPr>
        <w:spacing w:after="269" w:before="269"/>
        <w:ind w:firstLine="0" w:left="0" w:right="0"/>
        <w:jc w:val="center"/>
      </w:pPr>
      <w:r>
        <w:drawing>
          <wp:inline>
            <wp:extent cx="4241800" cy="2857499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2418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="269" w:before="269"/>
        <w:ind w:firstLine="0" w:left="0" w:right="0"/>
        <w:jc w:val="center"/>
      </w:pPr>
      <w:r>
        <w:drawing>
          <wp:inline>
            <wp:extent cx="3873500" cy="2565400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73500" cy="2565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ИЛИ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4000000">
      <w:pPr>
        <w:spacing w:after="269" w:before="269"/>
        <w:ind w:firstLine="0" w:left="0" w:right="0"/>
        <w:jc w:val="center"/>
      </w:pPr>
      <w:r>
        <w:drawing>
          <wp:inline>
            <wp:extent cx="4013200" cy="2667000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132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6000000">
      <w:pPr>
        <w:spacing w:after="269" w:before="269"/>
        <w:ind w:firstLine="0" w:left="0" w:right="0"/>
        <w:jc w:val="center"/>
      </w:pPr>
      <w:r>
        <w:drawing>
          <wp:inline>
            <wp:extent cx="3784600" cy="2565400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3784600" cy="25654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7000000">
      <w:bookmarkStart w:id="13" w:name="__RefHeading___13"/>
      <w:bookmarkEnd w:id="13"/>
      <w:pPr>
        <w:pStyle w:val="Style_7"/>
      </w:pPr>
      <w:r>
        <w:t>Дешифратор</w:t>
      </w:r>
    </w:p>
    <w:p w14:paraId="D8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D9000000">
      <w:pPr>
        <w:ind w:firstLine="0" w:left="0"/>
        <w:jc w:val="left"/>
      </w:pPr>
      <w:r>
        <w:br w:type="page"/>
      </w:r>
    </w:p>
    <w:p w14:paraId="DA000000">
      <w:bookmarkStart w:id="14" w:name="__RefHeading___14"/>
      <w:bookmarkEnd w:id="14"/>
      <w:pPr>
        <w:pStyle w:val="Style_7"/>
      </w:pPr>
      <w:r>
        <w:t>ССИ</w:t>
      </w:r>
    </w:p>
    <w:p w14:paraId="DB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DC000000">
      <w:pPr>
        <w:ind w:firstLine="0" w:left="0"/>
        <w:jc w:val="left"/>
      </w:pPr>
      <w:r>
        <w:br w:type="page"/>
      </w:r>
    </w:p>
    <w:p w14:paraId="DD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DE000000">
      <w:r>
        <w:t>Схема</w:t>
      </w:r>
    </w:p>
    <w:p w14:paraId="DF000000">
      <w:pPr>
        <w:ind w:firstLine="0" w:left="0"/>
        <w:jc w:val="left"/>
      </w:pPr>
      <w:r>
        <w:br w:type="page"/>
      </w:r>
    </w:p>
    <w:p w14:paraId="E0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E1000000">
      <w:r>
        <w:t>Что это</w:t>
      </w:r>
      <w:r>
        <w:t>,</w:t>
      </w:r>
      <w:r>
        <w:t xml:space="preserve"> зачем и схема</w:t>
      </w:r>
    </w:p>
    <w:p w14:paraId="E2000000">
      <w:pPr>
        <w:ind w:firstLine="0" w:left="0"/>
        <w:jc w:val="left"/>
      </w:pPr>
      <w:r>
        <w:br w:type="page"/>
      </w:r>
    </w:p>
    <w:p w14:paraId="E3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E4000000"/>
    <w:p w14:paraId="E5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E6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E7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E8000000">
      <w:pPr>
        <w:spacing w:after="269" w:before="269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E9000000">
      <w:pPr>
        <w:ind w:firstLine="0" w:left="0"/>
        <w:jc w:val="center"/>
      </w:pPr>
      <w:r>
        <w:drawing>
          <wp:inline>
            <wp:extent cx="5867400" cy="4165600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674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ind w:firstLine="0" w:left="0"/>
        <w:jc w:val="center"/>
      </w:pPr>
      <w:r>
        <w:drawing>
          <wp:inline>
            <wp:extent cx="5283200" cy="3314700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8320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ind w:firstLine="0" w:left="0"/>
        <w:jc w:val="both"/>
      </w:pPr>
      <w:r>
        <w:t>Схема мультиплекстора на 2И-НЕ</w:t>
      </w:r>
    </w:p>
    <w:p w14:paraId="EC000000">
      <w:pPr>
        <w:ind w:firstLine="0" w:left="0"/>
        <w:jc w:val="center"/>
      </w:pPr>
      <w:r>
        <w:drawing>
          <wp:inline>
            <wp:extent cx="5549900" cy="191770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5499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ind w:firstLine="0" w:left="0"/>
        <w:jc w:val="center"/>
      </w:pPr>
      <w:r>
        <w:drawing>
          <wp:inline>
            <wp:extent cx="4749800" cy="13335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4980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ind w:firstLine="0" w:left="0"/>
        <w:jc w:val="both"/>
      </w:pPr>
      <w:r>
        <w:t>Схема мультиплекстора на 2ИЛИ-НЕ</w:t>
      </w:r>
    </w:p>
    <w:p w14:paraId="EF000000">
      <w:pPr>
        <w:ind w:firstLine="0" w:left="0"/>
        <w:jc w:val="center"/>
      </w:pPr>
      <w:r>
        <w:drawing>
          <wp:inline>
            <wp:extent cx="5702300" cy="148590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702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ind w:firstLine="0" w:left="0"/>
        <w:jc w:val="center"/>
      </w:pPr>
      <w:r>
        <w:drawing>
          <wp:inline>
            <wp:extent cx="5067300" cy="1562100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067300" cy="15621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F100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2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3000000">
      <w:pPr>
        <w:ind w:firstLine="0" w:left="0"/>
        <w:jc w:val="left"/>
      </w:pPr>
      <w:r>
        <w:br w:type="page"/>
      </w:r>
    </w:p>
    <w:p w14:paraId="F400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5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F6000000">
      <w:pPr>
        <w:ind w:firstLine="0" w:left="0"/>
        <w:jc w:val="left"/>
      </w:pPr>
      <w:r>
        <w:br w:type="page"/>
      </w:r>
    </w:p>
    <w:p w14:paraId="F700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F800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F9000000">
      <w:pPr>
        <w:ind w:firstLine="0" w:left="0"/>
        <w:jc w:val="left"/>
      </w:pPr>
      <w:r>
        <w:br w:type="page"/>
      </w:r>
    </w:p>
    <w:p w14:paraId="FA00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FB00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FC000000">
      <w:pPr>
        <w:ind w:firstLine="0" w:left="0"/>
        <w:jc w:val="left"/>
      </w:pPr>
      <w:r>
        <w:br w:type="page"/>
      </w:r>
    </w:p>
    <w:p w14:paraId="FD00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FE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F00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0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01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Компаратор осуществляет сравнение двух сигналов и выдает результат какие это сигналы, больше/меньше они или равны.</w:t>
      </w:r>
    </w:p>
    <w:tbl>
      <w:tblPr>
        <w:tblStyle w:val="Style_8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1871"/>
        <w:gridCol w:w="1871"/>
        <w:gridCol w:w="1871"/>
        <w:gridCol w:w="1871"/>
        <w:gridCol w:w="1871"/>
      </w:tblGrid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2010000">
            <w:r>
              <w:t>A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3010000">
            <w:r>
              <w:t>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4010000">
            <w:r>
              <w:t>A&lt;B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5010000">
            <w:r>
              <w:t>A=B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6010000">
            <w:r>
              <w:t>A&gt;B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7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9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A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B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C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D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E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F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0010000">
            <w:r>
              <w:t>1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1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2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3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4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5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6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7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9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A010000">
            <w:r>
              <w:t>0</w:t>
            </w:r>
          </w:p>
        </w:tc>
      </w:tr>
    </w:tbl>
    <w:p w14:paraId="1B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Когда равенство сигнал это инвертированный XOR</w:t>
      </w:r>
    </w:p>
    <w:p w14:paraId="1C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Их отличия это соответственно Y=-A*B и Y=A*-B.</w:t>
      </w:r>
    </w:p>
    <w:p w14:paraId="1D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975100" cy="2768600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9751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5940425" cy="2099492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099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20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Схема компаратора для последовательного или параллельного включения:</w:t>
      </w:r>
    </w:p>
    <w:p w14:paraId="21010000">
      <w:pPr>
        <w:ind/>
        <w:jc w:val="center"/>
      </w:pPr>
      <w:r>
        <w:drawing>
          <wp:inline>
            <wp:extent cx="4800600" cy="1536700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80060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10000">
      <w:pPr>
        <w:ind/>
        <w:jc w:val="both"/>
      </w:pPr>
      <w:r>
        <w:t xml:space="preserve">Если старшие разряды равны, то на провод с равенством подается 1, если нет 0. Принцип такой что такую схему можно последовательно или </w:t>
      </w:r>
      <w:r>
        <w:rPr>
          <w:rFonts w:ascii="Times New Roman" w:hAnsi="Times New Roman"/>
          <w:sz w:val="28"/>
        </w:rPr>
        <w:t>параллельно</w:t>
      </w:r>
      <w:r>
        <w:t xml:space="preserve"> подключать.</w:t>
      </w:r>
    </w:p>
    <w:p w14:paraId="23010000">
      <w:pPr>
        <w:ind/>
        <w:jc w:val="both"/>
      </w:pPr>
      <w:r>
        <w:t>Последовательное включение, идея, что по очереди проверяются все разряды. При большом количестве будет медленной:</w:t>
      </w:r>
    </w:p>
    <w:p w14:paraId="24010000">
      <w:pPr>
        <w:ind/>
        <w:jc w:val="center"/>
      </w:pPr>
      <w:r>
        <w:drawing>
          <wp:inline>
            <wp:extent cx="5092700" cy="1447800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10000">
      <w:pPr>
        <w:ind/>
        <w:jc w:val="center"/>
      </w:pPr>
      <w:r>
        <w:drawing>
          <wp:inline>
            <wp:extent cx="4343400" cy="2044700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343400" cy="204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10000">
      <w:pPr>
        <w:ind/>
        <w:jc w:val="center"/>
      </w:pPr>
    </w:p>
    <w:p w14:paraId="27010000">
      <w:pPr>
        <w:ind/>
        <w:jc w:val="both"/>
      </w:pPr>
      <w:r>
        <w:t>Параллельное включение, проверить в начале все линии, после чего анализировать результат:</w:t>
      </w:r>
    </w:p>
    <w:p w14:paraId="28010000">
      <w:pPr>
        <w:ind/>
        <w:jc w:val="center"/>
      </w:pPr>
      <w:r>
        <w:drawing>
          <wp:inline>
            <wp:extent cx="5410200" cy="1739900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410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ind/>
        <w:jc w:val="center"/>
      </w:pPr>
      <w:r>
        <w:drawing>
          <wp:inline>
            <wp:extent cx="5588000" cy="3035300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58800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10000">
      <w:pPr>
        <w:ind/>
        <w:jc w:val="center"/>
      </w:pPr>
      <w:r>
        <w:drawing>
          <wp:inline>
            <wp:extent cx="5524500" cy="2641600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5245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ind/>
        <w:jc w:val="center"/>
      </w:pPr>
    </w:p>
    <w:p w14:paraId="2C010000">
      <w:pPr>
        <w:ind/>
        <w:jc w:val="both"/>
      </w:pPr>
      <w:r>
        <w:t>Компаратор через сумматор, может быть такой вопрос как сделать компаратор через сумматор: Из А вычитаем В, прибавляем 1, дальнейшие пояснения говорит картинка ниже:</w:t>
      </w:r>
    </w:p>
    <w:p w14:paraId="2D010000">
      <w:pPr>
        <w:ind/>
        <w:jc w:val="center"/>
      </w:pPr>
      <w:r>
        <w:drawing>
          <wp:inline>
            <wp:extent cx="5918200" cy="4445000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182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10000">
      <w:pPr>
        <w:ind/>
        <w:jc w:val="center"/>
      </w:pPr>
    </w:p>
    <w:p w14:paraId="2F010000">
      <w:pPr>
        <w:ind/>
        <w:jc w:val="center"/>
      </w:pPr>
    </w:p>
    <w:p w14:paraId="30010000">
      <w:pPr>
        <w:ind/>
        <w:jc w:val="both"/>
      </w:pPr>
      <w:r>
        <w:t>Еще версии компаратора на сумматоре, работает так же, но на элементах И:</w:t>
      </w:r>
    </w:p>
    <w:p w14:paraId="31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10000">
      <w:pPr>
        <w:ind/>
        <w:jc w:val="center"/>
      </w:pPr>
    </w:p>
    <w:p w14:paraId="33010000">
      <w:pPr>
        <w:ind/>
        <w:jc w:val="center"/>
      </w:pPr>
      <w:r>
        <w:br w:type="page"/>
      </w:r>
    </w:p>
    <w:p w14:paraId="34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35010000">
      <w:pPr>
        <w:ind w:firstLine="0" w:left="0"/>
        <w:jc w:val="left"/>
      </w:pPr>
      <w:r>
        <w:br w:type="page"/>
      </w:r>
    </w:p>
    <w:p w14:paraId="36010000">
      <w:bookmarkStart w:id="26" w:name="__RefHeading___26"/>
      <w:bookmarkEnd w:id="26"/>
      <w:pPr>
        <w:pStyle w:val="Style_7"/>
      </w:pPr>
      <w:r>
        <w:t>АЛУ</w:t>
      </w:r>
    </w:p>
    <w:p w14:paraId="37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38010000">
      <w:pPr>
        <w:ind w:firstLine="0" w:left="0"/>
        <w:jc w:val="left"/>
      </w:pPr>
      <w:r>
        <w:br w:type="page"/>
      </w:r>
    </w:p>
    <w:p w14:paraId="39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3A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3B010000">
      <w:pPr>
        <w:ind w:firstLine="0" w:left="0"/>
        <w:jc w:val="left"/>
      </w:pPr>
      <w:r>
        <w:br w:type="page"/>
      </w:r>
    </w:p>
    <w:p w14:paraId="3C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3D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3E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F010000">
      <w:pPr>
        <w:ind w:firstLine="0" w:left="0"/>
        <w:jc w:val="left"/>
      </w:pPr>
      <w:r>
        <w:br w:type="page"/>
      </w:r>
    </w:p>
    <w:p w14:paraId="40010000">
      <w:bookmarkStart w:id="29" w:name="__RefHeading___29"/>
      <w:bookmarkEnd w:id="29"/>
      <w:pPr>
        <w:pStyle w:val="Style_9"/>
      </w:pPr>
      <w:r>
        <w:t xml:space="preserve"> </w:t>
      </w:r>
      <w:r>
        <w:t>ИСКЛ ИЛИ на 4 элементах (базис 2И-НЕ). ИСКЛ ИЛИ в базисе 2ИЛИ-НЕ</w:t>
      </w:r>
    </w:p>
    <w:p w14:paraId="41010000">
      <w:pPr>
        <w:ind w:firstLine="0" w:left="0"/>
        <w:jc w:val="center"/>
        <w:rPr>
          <w:b w:val="1"/>
          <w:color w:themeColor="text1" w:val="000000"/>
        </w:rPr>
      </w:pPr>
      <w:r>
        <w:drawing>
          <wp:inline>
            <wp:extent cx="6235700" cy="7569200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35700" cy="75692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42010000">
      <w:bookmarkStart w:id="30" w:name="__RefHeading___30"/>
      <w:bookmarkEnd w:id="30"/>
      <w:pPr>
        <w:pStyle w:val="Style_9"/>
      </w:pPr>
      <w:r>
        <w:t xml:space="preserve"> </w:t>
      </w:r>
      <w:r>
        <w:t>Вычитатель</w:t>
      </w:r>
      <w:r>
        <w:t xml:space="preserve"> на сумматоре</w:t>
      </w:r>
    </w:p>
    <w:p w14:paraId="4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4010000">
      <w:bookmarkStart w:id="31" w:name="__RefHeading___31"/>
      <w:bookmarkEnd w:id="31"/>
      <w:pPr>
        <w:pStyle w:val="Style_9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4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6010000">
      <w:bookmarkStart w:id="32" w:name="__RefHeading___32"/>
      <w:bookmarkEnd w:id="32"/>
      <w:pPr>
        <w:pStyle w:val="Style_9"/>
      </w:pPr>
      <w:r>
        <w:t xml:space="preserve"> </w:t>
      </w:r>
      <w:r>
        <w:t>Компаратор на сумматорах.</w:t>
      </w:r>
      <w:r>
        <w:t xml:space="preserve"> </w:t>
      </w:r>
    </w:p>
    <w:p w14:paraId="4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8010000">
      <w:bookmarkStart w:id="33" w:name="__RefHeading___33"/>
      <w:bookmarkEnd w:id="33"/>
      <w:pPr>
        <w:pStyle w:val="Style_9"/>
      </w:pPr>
      <w:r>
        <w:t xml:space="preserve"> </w:t>
      </w:r>
      <w:r>
        <w:t>Вариант 1 РК1</w:t>
      </w:r>
    </w:p>
    <w:p w14:paraId="49010000">
      <w:pPr>
        <w:ind/>
        <w:jc w:val="center"/>
      </w:pPr>
      <w:r>
        <w:drawing>
          <wp:inline>
            <wp:extent cx="5373077" cy="5236308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42000" l="13500" r="13333" t="4500"/>
                    <a:stretch/>
                  </pic:blipFill>
                  <pic:spPr>
                    <a:xfrm flipH="false" flipV="false" rot="0">
                      <a:ext cx="5373077" cy="52363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ind w:firstLine="0" w:left="0"/>
        <w:jc w:val="left"/>
      </w:pPr>
    </w:p>
    <w:p w14:paraId="4B010000">
      <w:pPr>
        <w:ind w:firstLine="0" w:left="0"/>
        <w:jc w:val="center"/>
      </w:pPr>
      <w:r>
        <w:drawing>
          <wp:inline>
            <wp:extent cx="5940425" cy="4299847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42998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10000">
      <w:pPr>
        <w:ind w:firstLine="0" w:left="0"/>
        <w:jc w:val="center"/>
      </w:pPr>
      <w:r>
        <w:drawing>
          <wp:inline>
            <wp:extent cx="5940425" cy="2837945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940425" cy="28379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10000">
      <w:pPr>
        <w:ind w:firstLine="0" w:left="0"/>
        <w:jc w:val="center"/>
      </w:pPr>
      <w:r>
        <w:drawing>
          <wp:inline>
            <wp:extent cx="5940425" cy="6686461"/>
            <wp:effectExtent b="0" l="0" r="0" t="0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66864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ind w:firstLine="0" w:left="0"/>
        <w:jc w:val="left"/>
      </w:pPr>
      <w:r>
        <w:drawing>
          <wp:inline>
            <wp:extent cx="5940425" cy="7224841"/>
            <wp:effectExtent b="0" l="0" r="0" t="0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7224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10000">
      <w:pPr>
        <w:ind w:firstLine="0" w:left="0"/>
        <w:jc w:val="center"/>
      </w:pPr>
      <w:r>
        <w:drawing>
          <wp:inline>
            <wp:extent cx="5940425" cy="6447898"/>
            <wp:effectExtent b="0" l="0" r="0" t="0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64478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10000">
      <w:pPr>
        <w:ind w:firstLine="0" w:left="0"/>
        <w:jc w:val="center"/>
      </w:pPr>
      <w:r>
        <w:drawing>
          <wp:inline>
            <wp:extent cx="5940425" cy="4965824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4965824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51010000">
      <w:bookmarkStart w:id="34" w:name="__RefHeading___34"/>
      <w:bookmarkEnd w:id="34"/>
      <w:pPr>
        <w:pStyle w:val="Style_9"/>
      </w:pPr>
      <w:r>
        <w:t xml:space="preserve"> </w:t>
      </w:r>
      <w:r>
        <w:t>Вариант 3 РК1</w:t>
      </w:r>
    </w:p>
    <w:p w14:paraId="52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10000">
      <w:pPr>
        <w:ind w:firstLine="0" w:left="0"/>
        <w:jc w:val="left"/>
      </w:pPr>
      <w:r>
        <w:br w:type="page"/>
      </w:r>
    </w:p>
    <w:p w14:paraId="54010000">
      <w:bookmarkStart w:id="35" w:name="__RefHeading___35"/>
      <w:bookmarkEnd w:id="35"/>
      <w:pPr>
        <w:pStyle w:val="Style_9"/>
      </w:pPr>
      <w:r>
        <w:t xml:space="preserve"> </w:t>
      </w:r>
      <w:r>
        <w:t>Вариант 4 РК1</w:t>
      </w:r>
    </w:p>
    <w:p w14:paraId="55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10000">
      <w:pPr>
        <w:ind w:firstLine="0" w:left="0"/>
        <w:jc w:val="left"/>
      </w:pPr>
      <w:r>
        <w:br w:type="page"/>
      </w:r>
    </w:p>
    <w:p w14:paraId="57010000">
      <w:bookmarkStart w:id="36" w:name="__RefHeading___36"/>
      <w:bookmarkEnd w:id="36"/>
      <w:pPr>
        <w:pStyle w:val="Style_9"/>
      </w:pPr>
      <w:r>
        <w:t xml:space="preserve"> </w:t>
      </w:r>
      <w:r>
        <w:t>Вариант 7 РК1</w:t>
      </w:r>
    </w:p>
    <w:p w14:paraId="58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71" name="Picture 71"/>
            <a:graphic>
              <a:graphicData uri="http://schemas.openxmlformats.org/drawingml/2006/picture">
                <pic:pic>
                  <pic:nvPicPr>
                    <pic:cNvPr hidden="false" id="72" name="Picture 72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10000">
      <w:pPr>
        <w:ind w:firstLine="0" w:left="0"/>
        <w:jc w:val="left"/>
      </w:pPr>
      <w:r>
        <w:br w:type="page"/>
      </w:r>
    </w:p>
    <w:p w14:paraId="5A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5B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5C010000">
      <w:pPr>
        <w:ind w:firstLine="0" w:left="0"/>
        <w:jc w:val="left"/>
      </w:pPr>
      <w:r>
        <w:br w:type="page"/>
      </w:r>
    </w:p>
    <w:p w14:paraId="5D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5E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F010000">
      <w:pPr>
        <w:ind w:firstLine="0" w:left="0"/>
        <w:jc w:val="left"/>
      </w:pPr>
      <w:r>
        <w:br w:type="page"/>
      </w:r>
    </w:p>
    <w:p w14:paraId="60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61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62010000"/>
    <w:p w14:paraId="63010000">
      <w:pPr>
        <w:ind w:firstLine="0" w:left="0"/>
        <w:jc w:val="left"/>
      </w:pPr>
      <w:r>
        <w:br w:type="page"/>
      </w:r>
    </w:p>
    <w:p w14:paraId="64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65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66010000">
      <w:pPr>
        <w:ind w:firstLine="0" w:left="0"/>
        <w:jc w:val="left"/>
      </w:pPr>
      <w:r>
        <w:br w:type="page"/>
      </w:r>
    </w:p>
    <w:p w14:paraId="67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68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69010000">
      <w:pPr>
        <w:ind w:firstLine="0" w:left="0"/>
        <w:jc w:val="left"/>
      </w:pPr>
      <w:r>
        <w:br w:type="page"/>
      </w:r>
    </w:p>
    <w:p w14:paraId="6A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6B010000">
      <w:r>
        <w:t>О</w:t>
      </w:r>
      <w:r>
        <w:t>,</w:t>
      </w:r>
      <w:r>
        <w:t xml:space="preserve"> ВД.</w:t>
      </w:r>
    </w:p>
    <w:p w14:paraId="6C010000">
      <w:pPr>
        <w:ind w:firstLine="0" w:left="0"/>
        <w:jc w:val="left"/>
      </w:pPr>
      <w:r>
        <w:br w:type="page"/>
      </w:r>
    </w:p>
    <w:p w14:paraId="6D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6E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6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0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71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72010000">
      <w:pPr>
        <w:ind w:firstLine="0" w:left="0"/>
        <w:jc w:val="left"/>
      </w:pPr>
      <w:r>
        <w:br w:type="page"/>
      </w:r>
    </w:p>
    <w:p w14:paraId="73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74010000">
      <w:r>
        <w:t>Асинхронный? О</w:t>
      </w:r>
      <w:r>
        <w:t>,</w:t>
      </w:r>
      <w:r>
        <w:t xml:space="preserve"> ВД</w:t>
      </w:r>
    </w:p>
    <w:p w14:paraId="75010000">
      <w:pPr>
        <w:ind w:firstLine="0" w:left="0"/>
        <w:jc w:val="left"/>
      </w:pPr>
      <w:r>
        <w:br w:type="page"/>
      </w:r>
    </w:p>
    <w:p w14:paraId="76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77010000">
      <w:r>
        <w:t>Принцип</w:t>
      </w:r>
      <w:r>
        <w:t>,</w:t>
      </w:r>
      <w:r>
        <w:t xml:space="preserve"> ВД.</w:t>
      </w:r>
    </w:p>
    <w:p w14:paraId="78010000">
      <w:pPr>
        <w:ind w:firstLine="0" w:left="0"/>
        <w:jc w:val="left"/>
      </w:pPr>
      <w:r>
        <w:br w:type="page"/>
      </w:r>
    </w:p>
    <w:p w14:paraId="79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7A010000">
      <w:r>
        <w:t>Принцип</w:t>
      </w:r>
      <w:r>
        <w:t>,</w:t>
      </w:r>
      <w:r>
        <w:t xml:space="preserve"> ВД.</w:t>
      </w:r>
    </w:p>
    <w:p w14:paraId="7B010000">
      <w:pPr>
        <w:ind w:firstLine="0" w:left="0"/>
        <w:jc w:val="left"/>
      </w:pPr>
      <w:r>
        <w:br w:type="page"/>
      </w:r>
    </w:p>
    <w:p w14:paraId="7C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7D010000">
      <w:r>
        <w:t>Принцип</w:t>
      </w:r>
      <w:r>
        <w:t xml:space="preserve">, </w:t>
      </w:r>
      <w:r>
        <w:t>ВД</w:t>
      </w:r>
    </w:p>
    <w:p w14:paraId="7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F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80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81010000">
      <w:pPr>
        <w:ind w:firstLine="0" w:left="0"/>
        <w:jc w:val="left"/>
      </w:pPr>
      <w:r>
        <w:br w:type="page"/>
      </w:r>
    </w:p>
    <w:p w14:paraId="82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83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84010000">
      <w:pPr>
        <w:ind w:firstLine="0" w:left="0"/>
        <w:jc w:val="left"/>
      </w:pPr>
      <w:r>
        <w:br w:type="page"/>
      </w:r>
    </w:p>
    <w:p w14:paraId="85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86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87010000">
      <w:pPr>
        <w:ind w:firstLine="0" w:left="0"/>
        <w:jc w:val="left"/>
      </w:pPr>
      <w:r>
        <w:br w:type="page"/>
      </w:r>
    </w:p>
    <w:p w14:paraId="88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8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A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8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C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8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E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8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0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91010000"/>
    <w:p w14:paraId="92010000">
      <w:pPr>
        <w:ind w:firstLine="0" w:left="0"/>
        <w:jc w:val="left"/>
      </w:pPr>
      <w:r>
        <w:br w:type="page"/>
      </w:r>
    </w:p>
    <w:p w14:paraId="93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94010000">
      <w:r>
        <w:t>Страшная схема</w:t>
      </w:r>
    </w:p>
    <w:p w14:paraId="95010000">
      <w:pPr>
        <w:ind w:firstLine="0" w:left="0"/>
        <w:jc w:val="left"/>
      </w:pPr>
      <w:r>
        <w:br w:type="page"/>
      </w:r>
    </w:p>
    <w:p w14:paraId="96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97010000">
      <w:r>
        <w:t>Страшная схема со сбросом и с установкой</w:t>
      </w:r>
    </w:p>
    <w:p w14:paraId="9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9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9A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9B010000">
      <w:pPr>
        <w:ind w:firstLine="0" w:left="0"/>
        <w:jc w:val="left"/>
      </w:pPr>
      <w:r>
        <w:br w:type="page"/>
      </w:r>
    </w:p>
    <w:p w14:paraId="9C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9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E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9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0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A1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2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A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4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A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6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A7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A8010000">
      <w:pPr>
        <w:ind w:firstLine="0" w:left="0"/>
        <w:jc w:val="left"/>
      </w:pPr>
      <w:r>
        <w:br w:type="page"/>
      </w:r>
    </w:p>
    <w:p w14:paraId="A9010000">
      <w:bookmarkStart w:id="66" w:name="__RefHeading___66"/>
      <w:bookmarkEnd w:id="66"/>
      <w:pPr>
        <w:pStyle w:val="Style_9"/>
      </w:pPr>
      <w:r>
        <w:t xml:space="preserve"> </w:t>
      </w:r>
      <w:r>
        <w:t>Счётчик в базисе 2И-НЕ</w:t>
      </w:r>
    </w:p>
    <w:p w14:paraId="A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B010000">
      <w:bookmarkStart w:id="67" w:name="__RefHeading___67"/>
      <w:bookmarkEnd w:id="67"/>
      <w:pPr>
        <w:pStyle w:val="Style_9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9"/>
      <w:lvlText w:val="%1.%2.%3"/>
      <w:lvlJc w:val="left"/>
      <w:pPr>
        <w:ind w:hanging="720" w:left="720"/>
      </w:pPr>
    </w:lvl>
    <w:lvl w:ilvl="3">
      <w:start w:val="1"/>
      <w:numFmt w:val="decimal"/>
      <w:pStyle w:val="Style_28"/>
      <w:lvlText w:val="%1.%2.%3.%4"/>
      <w:lvlJc w:val="left"/>
      <w:pPr>
        <w:ind w:hanging="864" w:left="864"/>
      </w:pPr>
    </w:lvl>
    <w:lvl w:ilvl="4">
      <w:start w:val="1"/>
      <w:numFmt w:val="decimal"/>
      <w:pStyle w:val="Style_18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9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2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21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5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0" w:type="paragraph">
    <w:name w:val="Normal"/>
    <w:link w:val="Style_10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10_ch" w:type="character">
    <w:name w:val="Normal"/>
    <w:link w:val="Style_10"/>
    <w:rPr>
      <w:rFonts w:ascii="Times New Roman" w:hAnsi="Times New Roman"/>
      <w:sz w:val="28"/>
    </w:rPr>
  </w:style>
  <w:style w:styleId="Style_3" w:type="paragraph">
    <w:name w:val="toc 2"/>
    <w:basedOn w:val="Style_10"/>
    <w:next w:val="Style_10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10_ch"/>
    <w:link w:val="Style_3"/>
  </w:style>
  <w:style w:styleId="Style_11" w:type="paragraph">
    <w:name w:val="toc 4"/>
    <w:next w:val="Style_10"/>
    <w:link w:val="Style_11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1_ch" w:type="character">
    <w:name w:val="toc 4"/>
    <w:link w:val="Style_11"/>
    <w:rPr>
      <w:rFonts w:ascii="XO Thames" w:hAnsi="XO Thames"/>
      <w:sz w:val="28"/>
    </w:rPr>
  </w:style>
  <w:style w:styleId="Style_12" w:type="paragraph">
    <w:name w:val="heading 7"/>
    <w:basedOn w:val="Style_10"/>
    <w:next w:val="Style_10"/>
    <w:link w:val="Style_12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2_ch" w:type="character">
    <w:name w:val="heading 7"/>
    <w:basedOn w:val="Style_10_ch"/>
    <w:link w:val="Style_12"/>
    <w:rPr>
      <w:rFonts w:asciiTheme="majorAscii" w:hAnsiTheme="majorHAnsi"/>
      <w:i w:val="1"/>
      <w:color w:themeColor="accent1" w:themeShade="7F" w:val="203864"/>
    </w:rPr>
  </w:style>
  <w:style w:styleId="Style_13" w:type="paragraph">
    <w:name w:val="toc 6"/>
    <w:next w:val="Style_10"/>
    <w:link w:val="Style_13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3_ch" w:type="character">
    <w:name w:val="toc 6"/>
    <w:link w:val="Style_13"/>
    <w:rPr>
      <w:rFonts w:ascii="XO Thames" w:hAnsi="XO Thames"/>
      <w:sz w:val="28"/>
    </w:rPr>
  </w:style>
  <w:style w:styleId="Style_14" w:type="paragraph">
    <w:name w:val="toc 7"/>
    <w:next w:val="Style_10"/>
    <w:link w:val="Style_14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4_ch" w:type="character">
    <w:name w:val="toc 7"/>
    <w:link w:val="Style_14"/>
    <w:rPr>
      <w:rFonts w:ascii="XO Thames" w:hAnsi="XO Thames"/>
      <w:sz w:val="28"/>
    </w:rPr>
  </w:style>
  <w:style w:styleId="Style_9" w:type="paragraph">
    <w:name w:val="heading 3"/>
    <w:basedOn w:val="Style_10"/>
    <w:next w:val="Style_10"/>
    <w:link w:val="Style_9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9_ch" w:type="character">
    <w:name w:val="heading 3"/>
    <w:basedOn w:val="Style_10_ch"/>
    <w:link w:val="Style_9"/>
    <w:rPr>
      <w:b w:val="1"/>
      <w:color w:themeColor="text1" w:val="000000"/>
    </w:rPr>
  </w:style>
  <w:style w:styleId="Style_15" w:type="paragraph">
    <w:name w:val="heading 9"/>
    <w:basedOn w:val="Style_10"/>
    <w:next w:val="Style_10"/>
    <w:link w:val="Style_15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5_ch" w:type="character">
    <w:name w:val="heading 9"/>
    <w:basedOn w:val="Style_10_ch"/>
    <w:link w:val="Style_15"/>
    <w:rPr>
      <w:rFonts w:asciiTheme="majorAscii" w:hAnsiTheme="majorHAnsi"/>
      <w:i w:val="1"/>
      <w:color w:themeColor="text1" w:themeTint="D8" w:val="272727"/>
      <w:sz w:val="21"/>
    </w:rPr>
  </w:style>
  <w:style w:styleId="Style_16" w:type="paragraph">
    <w:name w:val="Bibliography"/>
    <w:basedOn w:val="Style_10"/>
    <w:next w:val="Style_10"/>
    <w:link w:val="Style_16_ch"/>
  </w:style>
  <w:style w:styleId="Style_16_ch" w:type="character">
    <w:name w:val="Bibliography"/>
    <w:basedOn w:val="Style_10_ch"/>
    <w:link w:val="Style_16"/>
  </w:style>
  <w:style w:styleId="Style_4" w:type="paragraph">
    <w:name w:val="toc 3"/>
    <w:basedOn w:val="Style_10"/>
    <w:next w:val="Style_10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10_ch"/>
    <w:link w:val="Style_4"/>
  </w:style>
  <w:style w:styleId="Style_17" w:type="paragraph">
    <w:name w:val="Default Paragraph Font"/>
    <w:link w:val="Style_17_ch"/>
  </w:style>
  <w:style w:styleId="Style_17_ch" w:type="character">
    <w:name w:val="Default Paragraph Font"/>
    <w:link w:val="Style_17"/>
  </w:style>
  <w:style w:styleId="Style_1" w:type="paragraph">
    <w:name w:val="TOC Heading"/>
    <w:basedOn w:val="Style_5"/>
    <w:next w:val="Style_10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18" w:type="paragraph">
    <w:name w:val="heading 5"/>
    <w:basedOn w:val="Style_10"/>
    <w:next w:val="Style_10"/>
    <w:link w:val="Style_18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8_ch" w:type="character">
    <w:name w:val="heading 5"/>
    <w:basedOn w:val="Style_10_ch"/>
    <w:link w:val="Style_18"/>
    <w:rPr>
      <w:rFonts w:asciiTheme="majorAscii" w:hAnsiTheme="majorHAnsi"/>
      <w:color w:themeColor="accent1" w:themeShade="BF" w:val="2F5496"/>
    </w:rPr>
  </w:style>
  <w:style w:styleId="Style_5" w:type="paragraph">
    <w:name w:val="heading 1"/>
    <w:basedOn w:val="Style_10"/>
    <w:next w:val="Style_10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10_ch"/>
    <w:link w:val="Style_5"/>
    <w:rPr>
      <w:b w:val="1"/>
      <w:color w:themeColor="text1" w:val="000000"/>
      <w:sz w:val="32"/>
    </w:rPr>
  </w:style>
  <w:style w:styleId="Style_19" w:type="paragraph">
    <w:name w:val="Hyperlink"/>
    <w:basedOn w:val="Style_17"/>
    <w:link w:val="Style_19_ch"/>
    <w:rPr>
      <w:color w:themeColor="hyperlink" w:val="0563C1"/>
      <w:u w:val="single"/>
    </w:rPr>
  </w:style>
  <w:style w:styleId="Style_19_ch" w:type="character">
    <w:name w:val="Hyperlink"/>
    <w:basedOn w:val="Style_17_ch"/>
    <w:link w:val="Style_19"/>
    <w:rPr>
      <w:color w:themeColor="hyperlink" w:val="0563C1"/>
      <w:u w:val="single"/>
    </w:rPr>
  </w:style>
  <w:style w:styleId="Style_20" w:type="paragraph">
    <w:name w:val="Footnote"/>
    <w:link w:val="Style_20_ch"/>
    <w:pPr>
      <w:ind w:firstLine="851" w:left="0"/>
      <w:jc w:val="both"/>
    </w:pPr>
    <w:rPr>
      <w:rFonts w:ascii="XO Thames" w:hAnsi="XO Thames"/>
      <w:sz w:val="22"/>
    </w:rPr>
  </w:style>
  <w:style w:styleId="Style_20_ch" w:type="character">
    <w:name w:val="Footnote"/>
    <w:link w:val="Style_20"/>
    <w:rPr>
      <w:rFonts w:ascii="XO Thames" w:hAnsi="XO Thames"/>
      <w:sz w:val="22"/>
    </w:rPr>
  </w:style>
  <w:style w:styleId="Style_21" w:type="paragraph">
    <w:name w:val="heading 8"/>
    <w:basedOn w:val="Style_10"/>
    <w:next w:val="Style_10"/>
    <w:link w:val="Style_21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21_ch" w:type="character">
    <w:name w:val="heading 8"/>
    <w:basedOn w:val="Style_10_ch"/>
    <w:link w:val="Style_21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10"/>
    <w:next w:val="Style_10"/>
    <w:link w:val="Style_2_ch"/>
    <w:uiPriority w:val="39"/>
    <w:pPr>
      <w:spacing w:after="100"/>
      <w:ind/>
    </w:pPr>
  </w:style>
  <w:style w:styleId="Style_2_ch" w:type="character">
    <w:name w:val="toc 1"/>
    <w:basedOn w:val="Style_10_ch"/>
    <w:link w:val="Style_2"/>
  </w:style>
  <w:style w:styleId="Style_22" w:type="paragraph">
    <w:name w:val="Header and Footer"/>
    <w:link w:val="Style_22_ch"/>
    <w:pPr>
      <w:spacing w:line="240" w:lineRule="auto"/>
      <w:ind/>
      <w:jc w:val="both"/>
    </w:pPr>
    <w:rPr>
      <w:rFonts w:ascii="XO Thames" w:hAnsi="XO Thames"/>
      <w:sz w:val="20"/>
    </w:rPr>
  </w:style>
  <w:style w:styleId="Style_22_ch" w:type="character">
    <w:name w:val="Header and Footer"/>
    <w:link w:val="Style_22"/>
    <w:rPr>
      <w:rFonts w:ascii="XO Thames" w:hAnsi="XO Thames"/>
      <w:sz w:val="20"/>
    </w:rPr>
  </w:style>
  <w:style w:styleId="Style_23" w:type="paragraph">
    <w:name w:val="toc 9"/>
    <w:next w:val="Style_10"/>
    <w:link w:val="Style_23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3_ch" w:type="character">
    <w:name w:val="toc 9"/>
    <w:link w:val="Style_23"/>
    <w:rPr>
      <w:rFonts w:ascii="XO Thames" w:hAnsi="XO Thames"/>
      <w:sz w:val="28"/>
    </w:rPr>
  </w:style>
  <w:style w:styleId="Style_6" w:type="paragraph">
    <w:name w:val="List Paragraph"/>
    <w:basedOn w:val="Style_10"/>
    <w:link w:val="Style_6_ch"/>
    <w:pPr>
      <w:ind w:firstLine="0" w:left="720"/>
      <w:contextualSpacing w:val="1"/>
    </w:pPr>
  </w:style>
  <w:style w:styleId="Style_6_ch" w:type="character">
    <w:name w:val="List Paragraph"/>
    <w:basedOn w:val="Style_10_ch"/>
    <w:link w:val="Style_6"/>
  </w:style>
  <w:style w:styleId="Style_24" w:type="paragraph">
    <w:name w:val="toc 8"/>
    <w:next w:val="Style_10"/>
    <w:link w:val="Style_24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4_ch" w:type="character">
    <w:name w:val="toc 8"/>
    <w:link w:val="Style_24"/>
    <w:rPr>
      <w:rFonts w:ascii="XO Thames" w:hAnsi="XO Thames"/>
      <w:sz w:val="28"/>
    </w:rPr>
  </w:style>
  <w:style w:styleId="Style_25" w:type="paragraph">
    <w:name w:val="toc 5"/>
    <w:next w:val="Style_10"/>
    <w:link w:val="Style_25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5_ch" w:type="character">
    <w:name w:val="toc 5"/>
    <w:link w:val="Style_25"/>
    <w:rPr>
      <w:rFonts w:ascii="XO Thames" w:hAnsi="XO Thames"/>
      <w:sz w:val="28"/>
    </w:rPr>
  </w:style>
  <w:style w:styleId="Style_26" w:type="paragraph">
    <w:name w:val="Subtitle"/>
    <w:next w:val="Style_10"/>
    <w:link w:val="Style_26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6_ch" w:type="character">
    <w:name w:val="Subtitle"/>
    <w:link w:val="Style_26"/>
    <w:rPr>
      <w:rFonts w:ascii="XO Thames" w:hAnsi="XO Thames"/>
      <w:i w:val="1"/>
      <w:sz w:val="24"/>
    </w:rPr>
  </w:style>
  <w:style w:styleId="Style_27" w:type="paragraph">
    <w:name w:val="Title"/>
    <w:next w:val="Style_10"/>
    <w:link w:val="Style_27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7_ch" w:type="character">
    <w:name w:val="Title"/>
    <w:link w:val="Style_27"/>
    <w:rPr>
      <w:rFonts w:ascii="XO Thames" w:hAnsi="XO Thames"/>
      <w:b w:val="1"/>
      <w:caps w:val="1"/>
      <w:sz w:val="40"/>
    </w:rPr>
  </w:style>
  <w:style w:styleId="Style_28" w:type="paragraph">
    <w:name w:val="heading 4"/>
    <w:basedOn w:val="Style_10"/>
    <w:next w:val="Style_10"/>
    <w:link w:val="Style_28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8_ch" w:type="character">
    <w:name w:val="heading 4"/>
    <w:basedOn w:val="Style_10_ch"/>
    <w:link w:val="Style_28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10"/>
    <w:next w:val="Style_10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10_ch"/>
    <w:link w:val="Style_7"/>
    <w:rPr>
      <w:b w:val="1"/>
      <w:color w:themeColor="text1" w:val="000000"/>
    </w:rPr>
  </w:style>
  <w:style w:styleId="Style_29" w:type="paragraph">
    <w:name w:val="heading 6"/>
    <w:basedOn w:val="Style_10"/>
    <w:next w:val="Style_10"/>
    <w:link w:val="Style_29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9_ch" w:type="character">
    <w:name w:val="heading 6"/>
    <w:basedOn w:val="Style_10_ch"/>
    <w:link w:val="Style_29"/>
    <w:rPr>
      <w:rFonts w:asciiTheme="majorAscii" w:hAnsiTheme="majorHAnsi"/>
      <w:color w:themeColor="accent1" w:themeShade="7F" w:val="203864"/>
    </w:rPr>
  </w:style>
  <w:style w:default="1" w:styleId="Style_8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3" Target="numbering.xml" Type="http://schemas.openxmlformats.org/officeDocument/2006/relationships/numbering"/>
  <Relationship Id="rId42" Target="theme/theme1.xml" Type="http://schemas.openxmlformats.org/officeDocument/2006/relationships/theme"/>
  <Relationship Id="rId41" Target="webSettings.xml" Type="http://schemas.openxmlformats.org/officeDocument/2006/relationships/webSettings"/>
  <Relationship Id="rId40" Target="stylesWithEffects.xml" Type="http://schemas.microsoft.com/office/2007/relationships/stylesWithEffects"/>
  <Relationship Id="rId39" Target="styles.xml" Type="http://schemas.openxmlformats.org/officeDocument/2006/relationships/styles"/>
  <Relationship Id="rId37" Target="fontTable.xml" Type="http://schemas.openxmlformats.org/officeDocument/2006/relationships/fontTable"/>
  <Relationship Id="rId34" Target="media/34.png" Type="http://schemas.openxmlformats.org/officeDocument/2006/relationships/image"/>
  <Relationship Id="rId33" Target="media/33.jpeg" Type="http://schemas.openxmlformats.org/officeDocument/2006/relationships/image"/>
  <Relationship Id="rId31" Target="media/31.jpeg" Type="http://schemas.openxmlformats.org/officeDocument/2006/relationships/image"/>
  <Relationship Id="rId28" Target="media/28.jpeg" Type="http://schemas.openxmlformats.org/officeDocument/2006/relationships/image"/>
  <Relationship Id="rId24" Target="media/24.jpeg" Type="http://schemas.openxmlformats.org/officeDocument/2006/relationships/image"/>
  <Relationship Id="rId36" Target="media/36.png" Type="http://schemas.openxmlformats.org/officeDocument/2006/relationships/imag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jpe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settings.xml" Type="http://schemas.openxmlformats.org/officeDocument/2006/relationships/settings"/>
  <Relationship Id="rId10" Target="media/10.png" Type="http://schemas.openxmlformats.org/officeDocument/2006/relationships/image"/>
  <Relationship Id="rId14" Target="media/14.jpe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jpeg" Type="http://schemas.openxmlformats.org/officeDocument/2006/relationships/image"/>
  <Relationship Id="rId9" Target="media/9.png" Type="http://schemas.openxmlformats.org/officeDocument/2006/relationships/image"/>
  <Relationship Id="rId32" Target="media/32.jpe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jpeg" Type="http://schemas.openxmlformats.org/officeDocument/2006/relationships/image"/>
  <Relationship Id="rId35" Target="media/35.png" Type="http://schemas.openxmlformats.org/officeDocument/2006/relationships/image"/>
  <Relationship Id="rId12" Target="media/12.jpeg" Type="http://schemas.openxmlformats.org/officeDocument/2006/relationships/image"/>
  <Relationship Id="rId29" Target="media/29.jpeg" Type="http://schemas.openxmlformats.org/officeDocument/2006/relationships/image"/>
  <Relationship Id="rId3" Target="media/3.png" Type="http://schemas.openxmlformats.org/officeDocument/2006/relationships/image"/>
  <Relationship Id="rId30" Target="media/30.jpeg" Type="http://schemas.openxmlformats.org/officeDocument/2006/relationships/image"/>
  <Relationship Id="rId2" Target="media/2.jpeg" Type="http://schemas.openxmlformats.org/officeDocument/2006/relationships/image"/>
  <Relationship Id="rId25" Target="media/25.jpeg" Type="http://schemas.openxmlformats.org/officeDocument/2006/relationships/image"/>
  <Relationship Id="rId1" Target="media/1.jpe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2023-06-15T12:49:34Z</dcterms:modified>
</cp:coreProperties>
</file>